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462" w:type="dxa"/>
        <w:tblLook w:val="04A0" w:firstRow="1" w:lastRow="0" w:firstColumn="1" w:lastColumn="0" w:noHBand="0" w:noVBand="1"/>
      </w:tblPr>
      <w:tblGrid>
        <w:gridCol w:w="4462"/>
      </w:tblGrid>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F27D0A" w:rsidRPr="00D11A72" w:rsidRDefault="00F27D0A" w:rsidP="00F27D0A">
            <w:pPr>
              <w:jc w:val="center"/>
              <w:rPr>
                <w:rFonts w:cs="B Titr"/>
                <w:b/>
                <w:bCs/>
                <w:color w:val="FF0000"/>
              </w:rPr>
            </w:pPr>
            <w:r w:rsidRPr="00D11A72">
              <w:rPr>
                <w:rFonts w:cs="B Titr" w:hint="cs"/>
                <w:b/>
                <w:bCs/>
                <w:color w:val="FF0000"/>
                <w:rtl/>
              </w:rPr>
              <w:t>انرژی مصرفی</w:t>
            </w:r>
          </w:p>
          <w:p w:rsidR="00F27D0A" w:rsidRPr="00D11A72" w:rsidRDefault="00F27D0A" w:rsidP="00F27D0A">
            <w:pPr>
              <w:spacing w:after="200" w:line="276" w:lineRule="auto"/>
              <w:ind w:left="101" w:right="176"/>
              <w:jc w:val="both"/>
              <w:rPr>
                <w:rFonts w:cs="B Titr"/>
                <w:sz w:val="20"/>
                <w:szCs w:val="20"/>
              </w:rPr>
            </w:pPr>
            <w:r w:rsidRPr="00D11A72">
              <w:rPr>
                <w:rFonts w:cs="B Titr" w:hint="cs"/>
                <w:sz w:val="20"/>
                <w:szCs w:val="20"/>
                <w:rtl/>
              </w:rPr>
              <w:t xml:space="preserve">بیمار دیالیزی باید انرژی کافی دریافت کند تا پروتئین های بدنی وی صرف تامین انرژی نشود . انرژی مورد نیاز بیماران همودیالیز باید براساس وزن خشک بیمار( بعد از دیالیز ) تعیین گردد . </w:t>
            </w:r>
          </w:p>
          <w:p w:rsidR="000B1CF8" w:rsidRDefault="00F27D0A" w:rsidP="00F27D0A">
            <w:pPr>
              <w:ind w:left="360"/>
              <w:jc w:val="both"/>
              <w:rPr>
                <w:rFonts w:cs="B Titr"/>
                <w:sz w:val="20"/>
                <w:szCs w:val="20"/>
                <w:rtl/>
              </w:rPr>
            </w:pPr>
            <w:r w:rsidRPr="00D11A72">
              <w:rPr>
                <w:rFonts w:cs="B Titr" w:hint="cs"/>
                <w:sz w:val="20"/>
                <w:szCs w:val="20"/>
                <w:rtl/>
              </w:rPr>
              <w:t>به دلیل اینکه طی هر بار همودیالیز حدود 10 تا 13 گرم پروتئین دفع می گردد نیاز به پروتئین در بیماران همودیالیز بیشتر از بیماران مبتلا به نارسایی کلیه می باشد بنابراین می توانند با آسودگی خاطر بیشتری مقادیر مجاز پروتئینی از منابعی مثل گوشت و تخم مرغ استفاده کنند .</w:t>
            </w:r>
          </w:p>
          <w:p w:rsidR="00F27D0A" w:rsidRDefault="00F27D0A" w:rsidP="00F27D0A">
            <w:pPr>
              <w:ind w:left="360"/>
              <w:jc w:val="both"/>
              <w:rPr>
                <w:rFonts w:cs="B Titr"/>
                <w:sz w:val="20"/>
                <w:szCs w:val="20"/>
                <w:rtl/>
              </w:rPr>
            </w:pPr>
          </w:p>
          <w:p w:rsidR="00F27D0A" w:rsidRPr="00D61AD1" w:rsidRDefault="00F27D0A" w:rsidP="00F27D0A">
            <w:pPr>
              <w:ind w:left="360"/>
              <w:jc w:val="both"/>
              <w:rPr>
                <w:rFonts w:cs="B Nazanin" w:hint="cs"/>
                <w:sz w:val="20"/>
                <w:szCs w:val="20"/>
                <w:rtl/>
              </w:rPr>
            </w:pPr>
            <w:r w:rsidRPr="00F27D0A">
              <w:rPr>
                <w:rFonts w:cs="B Nazanin"/>
                <w:noProof/>
                <w:sz w:val="20"/>
                <w:szCs w:val="20"/>
                <w:rtl/>
              </w:rPr>
              <w:drawing>
                <wp:inline distT="0" distB="0" distL="0" distR="0" wp14:anchorId="289797AE" wp14:editId="5AA2B04C">
                  <wp:extent cx="2296160" cy="2498652"/>
                  <wp:effectExtent l="0" t="0" r="8890" b="0"/>
                  <wp:docPr id="4" name="Picture 4" descr="C:\Users\a\Desktop\پمفلت\New folder (2)\ac-image-QT1597580902KJ.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sktop\پمفلت\New folder (2)\ac-image-QT1597580902KJ.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3437" cy="2517452"/>
                          </a:xfrm>
                          <a:prstGeom prst="rect">
                            <a:avLst/>
                          </a:prstGeom>
                          <a:noFill/>
                          <a:ln>
                            <a:noFill/>
                          </a:ln>
                        </pic:spPr>
                      </pic:pic>
                    </a:graphicData>
                  </a:graphic>
                </wp:inline>
              </w:drawing>
            </w: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564770" w:rsidRPr="00564770" w:rsidRDefault="00564770" w:rsidP="00564770">
            <w:pPr>
              <w:jc w:val="center"/>
              <w:rPr>
                <w:rFonts w:cs="B Titr"/>
                <w:b/>
                <w:bCs/>
                <w:color w:val="FF0000"/>
              </w:rPr>
            </w:pPr>
            <w:r w:rsidRPr="00564770">
              <w:rPr>
                <w:rFonts w:cs="B Titr" w:hint="cs"/>
                <w:b/>
                <w:bCs/>
                <w:color w:val="FF0000"/>
                <w:rtl/>
              </w:rPr>
              <w:lastRenderedPageBreak/>
              <w:t xml:space="preserve">مایعات مصرفی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 xml:space="preserve">حجم مایعات دریافتی بیمار معادل حجم ادرار دفعی به علاوه 4 لیوان مایعات مجاز می باشد .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میزان دریافت مایعات روزانه باید دقیقا رعایت گردد و در نظر گرفتن مایعات موجود در مواد غذایی الزامی است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رعایت نکات زیر جهت کاهش تشنگی توصیه می شود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از غذاهای حاوی سدیم زیاد مانند غذاهای نمک سود شده ، خیارشور ، زیتون شور و ... پرهیز شود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دهان را با آب شستشو داده ولی آب را فرو نبرید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بخشی از مایعات دریافتی به صورت یخ باشد . همچنین بهتر است به آبی که می خواهید از آن یخ تهیه کنید مقداری آبلیمو اضافه کنید تا باعث افزایش تحریک بزاق شود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 xml:space="preserve">میوه ها و سبزی ها به صورت سرد مصرف شوند. </w:t>
            </w:r>
          </w:p>
          <w:p w:rsidR="00564770" w:rsidRPr="00564770" w:rsidRDefault="00564770" w:rsidP="00564770">
            <w:pPr>
              <w:spacing w:after="200" w:line="276" w:lineRule="auto"/>
              <w:ind w:left="101" w:right="34"/>
              <w:jc w:val="both"/>
              <w:rPr>
                <w:rFonts w:cs="B Titr"/>
                <w:sz w:val="20"/>
                <w:szCs w:val="20"/>
              </w:rPr>
            </w:pPr>
            <w:r w:rsidRPr="00564770">
              <w:rPr>
                <w:rFonts w:cs="B Titr" w:hint="cs"/>
                <w:sz w:val="20"/>
                <w:szCs w:val="20"/>
                <w:rtl/>
              </w:rPr>
              <w:t>مایعات در لیوان های کوچک استفاده شوند .</w:t>
            </w:r>
          </w:p>
          <w:p w:rsidR="000B1CF8" w:rsidRPr="00D61AD1" w:rsidRDefault="000B1CF8" w:rsidP="005D2C82">
            <w:pPr>
              <w:ind w:left="360"/>
              <w:jc w:val="both"/>
              <w:rPr>
                <w:rFonts w:cs="B Nazanin"/>
                <w:sz w:val="20"/>
                <w:szCs w:val="20"/>
                <w:rtl/>
              </w:rPr>
            </w:pP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D11A72" w:rsidRDefault="008530DC" w:rsidP="008530DC">
            <w:pPr>
              <w:jc w:val="center"/>
              <w:rPr>
                <w:rFonts w:cs="B Nazanin"/>
                <w:sz w:val="36"/>
                <w:szCs w:val="36"/>
                <w:rtl/>
              </w:rPr>
            </w:pPr>
            <w:r>
              <w:rPr>
                <w:rFonts w:cs="B Nazanin"/>
                <w:noProof/>
                <w:sz w:val="36"/>
                <w:szCs w:val="36"/>
              </w:rPr>
              <w:lastRenderedPageBreak/>
              <w:drawing>
                <wp:inline distT="0" distB="0" distL="0" distR="0" wp14:anchorId="15485A7B">
                  <wp:extent cx="2578735" cy="142684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78735" cy="1426845"/>
                          </a:xfrm>
                          <a:prstGeom prst="rect">
                            <a:avLst/>
                          </a:prstGeom>
                          <a:noFill/>
                        </pic:spPr>
                      </pic:pic>
                    </a:graphicData>
                  </a:graphic>
                </wp:inline>
              </w:drawing>
            </w:r>
          </w:p>
          <w:p w:rsidR="00D11A72" w:rsidRDefault="00D11A72" w:rsidP="00564770">
            <w:pPr>
              <w:jc w:val="center"/>
              <w:rPr>
                <w:rFonts w:cs="B Nazanin"/>
                <w:sz w:val="36"/>
                <w:szCs w:val="36"/>
                <w:rtl/>
              </w:rPr>
            </w:pPr>
          </w:p>
          <w:p w:rsidR="00D11A72" w:rsidRDefault="008530DC" w:rsidP="00564770">
            <w:pPr>
              <w:jc w:val="center"/>
              <w:rPr>
                <w:rFonts w:cs="B Nazanin"/>
                <w:sz w:val="36"/>
                <w:szCs w:val="36"/>
                <w:rtl/>
              </w:rPr>
            </w:pPr>
            <w:r w:rsidRPr="008530DC">
              <w:rPr>
                <w:rFonts w:cs="B Nazanin"/>
                <w:noProof/>
                <w:sz w:val="36"/>
                <w:szCs w:val="36"/>
                <w:rtl/>
              </w:rPr>
              <w:drawing>
                <wp:inline distT="0" distB="0" distL="0" distR="0">
                  <wp:extent cx="2583180" cy="1754372"/>
                  <wp:effectExtent l="0" t="0" r="7620" b="0"/>
                  <wp:docPr id="2" name="Picture 2" descr="C:\Users\a\Desktop\پمفلت\New folder (2)\637997881815564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esktop\پمفلت\New folder (2)\63799788181556475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98627" cy="1764863"/>
                          </a:xfrm>
                          <a:prstGeom prst="rect">
                            <a:avLst/>
                          </a:prstGeom>
                          <a:noFill/>
                          <a:ln>
                            <a:noFill/>
                          </a:ln>
                        </pic:spPr>
                      </pic:pic>
                    </a:graphicData>
                  </a:graphic>
                </wp:inline>
              </w:drawing>
            </w:r>
          </w:p>
          <w:p w:rsidR="00D11A72" w:rsidRPr="008530DC" w:rsidRDefault="008530DC" w:rsidP="008530DC">
            <w:pPr>
              <w:rPr>
                <w:rFonts w:cs="B Titr" w:hint="cs"/>
                <w:rtl/>
              </w:rPr>
            </w:pPr>
            <w:r w:rsidRPr="008530DC">
              <w:rPr>
                <w:rFonts w:cs="B Titr" w:hint="cs"/>
                <w:rtl/>
              </w:rPr>
              <w:t xml:space="preserve">تهیه و تنظیم : شیما نوروزی ، مسئول تغذیه بیمارستان </w:t>
            </w:r>
          </w:p>
          <w:p w:rsidR="008530DC" w:rsidRDefault="008530DC" w:rsidP="008530DC">
            <w:pPr>
              <w:jc w:val="center"/>
              <w:rPr>
                <w:rFonts w:cs="B Titr"/>
                <w:rtl/>
              </w:rPr>
            </w:pPr>
            <w:r w:rsidRPr="008530DC">
              <w:rPr>
                <w:rFonts w:cs="B Titr" w:hint="cs"/>
                <w:rtl/>
              </w:rPr>
              <w:t xml:space="preserve">تحت نظر واحد آموزش بیمارستان </w:t>
            </w:r>
          </w:p>
          <w:p w:rsidR="008530DC" w:rsidRPr="008530DC" w:rsidRDefault="008530DC" w:rsidP="008530DC">
            <w:pPr>
              <w:jc w:val="center"/>
              <w:rPr>
                <w:rFonts w:cs="B Titr"/>
                <w:rtl/>
              </w:rPr>
            </w:pPr>
          </w:p>
          <w:p w:rsidR="008530DC" w:rsidRDefault="00564770" w:rsidP="008530DC">
            <w:pPr>
              <w:spacing w:after="200" w:line="276" w:lineRule="auto"/>
              <w:jc w:val="both"/>
              <w:rPr>
                <w:rFonts w:cs="B Titr"/>
                <w:b/>
                <w:bCs/>
                <w:sz w:val="20"/>
                <w:szCs w:val="20"/>
                <w:rtl/>
              </w:rPr>
            </w:pPr>
            <w:r w:rsidRPr="008530DC">
              <w:rPr>
                <w:rFonts w:cs="B Titr" w:hint="cs"/>
                <w:sz w:val="20"/>
                <w:szCs w:val="20"/>
                <w:rtl/>
              </w:rPr>
              <w:t>منبع : راهنمای رژیم درمانی (فریبا شیخ )</w:t>
            </w:r>
          </w:p>
          <w:p w:rsidR="008530DC" w:rsidRDefault="008530DC" w:rsidP="008530DC">
            <w:pPr>
              <w:spacing w:after="200" w:line="276" w:lineRule="auto"/>
              <w:jc w:val="both"/>
              <w:rPr>
                <w:rFonts w:cs="B Titr"/>
                <w:b/>
                <w:bCs/>
                <w:sz w:val="20"/>
                <w:szCs w:val="20"/>
                <w:rtl/>
              </w:rPr>
            </w:pPr>
            <w:r w:rsidRPr="008530DC">
              <w:rPr>
                <w:rFonts w:cs="B Titr" w:hint="cs"/>
                <w:b/>
                <w:bCs/>
                <w:sz w:val="20"/>
                <w:szCs w:val="20"/>
                <w:rtl/>
              </w:rPr>
              <w:t>تاریخ : اسفند 1401</w:t>
            </w:r>
          </w:p>
          <w:p w:rsidR="008530DC" w:rsidRPr="008530DC" w:rsidRDefault="008530DC" w:rsidP="008530DC">
            <w:pPr>
              <w:spacing w:after="200" w:line="276" w:lineRule="auto"/>
              <w:jc w:val="both"/>
              <w:rPr>
                <w:rFonts w:cs="B Titr"/>
                <w:b/>
                <w:bCs/>
                <w:sz w:val="20"/>
                <w:szCs w:val="20"/>
              </w:rPr>
            </w:pPr>
            <w:r>
              <w:rPr>
                <w:rFonts w:cs="B Titr" w:hint="cs"/>
                <w:b/>
                <w:bCs/>
                <w:sz w:val="20"/>
                <w:szCs w:val="20"/>
                <w:rtl/>
              </w:rPr>
              <w:t xml:space="preserve">کد پمفلت : </w:t>
            </w:r>
            <w:r>
              <w:rPr>
                <w:rFonts w:cs="B Titr"/>
                <w:b/>
                <w:bCs/>
                <w:sz w:val="20"/>
                <w:szCs w:val="20"/>
              </w:rPr>
              <w:t>PE.IF.09</w:t>
            </w:r>
          </w:p>
          <w:p w:rsidR="000B1CF8" w:rsidRPr="00D61AD1" w:rsidRDefault="000B1CF8" w:rsidP="00564770">
            <w:pPr>
              <w:jc w:val="both"/>
              <w:rPr>
                <w:rFonts w:cs="B Nazanin"/>
                <w:sz w:val="20"/>
                <w:szCs w:val="20"/>
                <w:rtl/>
              </w:rPr>
            </w:pP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F27D0A" w:rsidRPr="00564770" w:rsidRDefault="00F27D0A" w:rsidP="00F27D0A">
            <w:pPr>
              <w:jc w:val="center"/>
              <w:rPr>
                <w:rFonts w:cs="B Titr"/>
                <w:color w:val="FF0000"/>
                <w:rtl/>
              </w:rPr>
            </w:pPr>
            <w:bookmarkStart w:id="0" w:name="_GoBack"/>
            <w:r w:rsidRPr="00564770">
              <w:rPr>
                <w:rFonts w:cs="B Titr" w:hint="cs"/>
                <w:color w:val="FF0000"/>
                <w:rtl/>
              </w:rPr>
              <w:lastRenderedPageBreak/>
              <w:t>توصیه های تغذیه ای برای بیماران دیالیزی</w:t>
            </w:r>
          </w:p>
          <w:p w:rsidR="00F27D0A" w:rsidRPr="00564770" w:rsidRDefault="00F27D0A" w:rsidP="00F27D0A">
            <w:pPr>
              <w:spacing w:after="200" w:line="276" w:lineRule="auto"/>
              <w:ind w:left="101" w:right="176"/>
              <w:jc w:val="both"/>
              <w:rPr>
                <w:rFonts w:cs="B Titr"/>
                <w:b/>
                <w:bCs/>
                <w:sz w:val="20"/>
                <w:szCs w:val="20"/>
              </w:rPr>
            </w:pPr>
            <w:r w:rsidRPr="00564770">
              <w:rPr>
                <w:rFonts w:cs="B Titr" w:hint="cs"/>
                <w:b/>
                <w:bCs/>
                <w:sz w:val="20"/>
                <w:szCs w:val="20"/>
                <w:rtl/>
              </w:rPr>
              <w:t>نمک مصرفی خود را محدود کنید .</w:t>
            </w:r>
          </w:p>
          <w:p w:rsidR="00F27D0A" w:rsidRPr="00564770" w:rsidRDefault="00F27D0A" w:rsidP="00F27D0A">
            <w:pPr>
              <w:spacing w:after="200" w:line="276" w:lineRule="auto"/>
              <w:ind w:left="101" w:right="176"/>
              <w:jc w:val="both"/>
              <w:rPr>
                <w:rFonts w:cs="B Titr"/>
                <w:sz w:val="20"/>
                <w:szCs w:val="20"/>
              </w:rPr>
            </w:pPr>
            <w:r w:rsidRPr="00564770">
              <w:rPr>
                <w:rFonts w:cs="B Titr" w:hint="cs"/>
                <w:sz w:val="20"/>
                <w:szCs w:val="20"/>
                <w:rtl/>
              </w:rPr>
              <w:t>میزان دریافت خود از میوه ها و سبزی ها را به خاطر محتوای پتاسیم آن ها</w:t>
            </w:r>
            <w:r>
              <w:rPr>
                <w:rFonts w:cs="B Titr" w:hint="cs"/>
                <w:sz w:val="20"/>
                <w:szCs w:val="20"/>
                <w:rtl/>
              </w:rPr>
              <w:t xml:space="preserve"> فقط در حد توصیه شده مصرف کنید.</w:t>
            </w:r>
          </w:p>
          <w:p w:rsidR="00F27D0A" w:rsidRPr="00564770" w:rsidRDefault="00F27D0A" w:rsidP="00F27D0A">
            <w:pPr>
              <w:spacing w:after="200" w:line="276" w:lineRule="auto"/>
              <w:ind w:left="101" w:right="176"/>
              <w:jc w:val="both"/>
              <w:rPr>
                <w:rFonts w:cs="B Titr"/>
                <w:sz w:val="20"/>
                <w:szCs w:val="20"/>
              </w:rPr>
            </w:pPr>
            <w:r w:rsidRPr="00564770">
              <w:rPr>
                <w:rFonts w:cs="B Titr" w:hint="cs"/>
                <w:sz w:val="20"/>
                <w:szCs w:val="20"/>
                <w:rtl/>
              </w:rPr>
              <w:t xml:space="preserve">از مصرف مغز ها ( از قبیل بادام ، پسته ، فندق ، گردو ، تخمه آفتابگردان و ....) حبوبات ، سویا ، نان های سبوسدار از جمله نان جو ، بیسکوئیت های سبوس دار از جمله ساقه طلایی ، لبنیات ، بستنی (یه استثنای </w:t>
            </w:r>
            <w:r w:rsidRPr="00564770">
              <w:rPr>
                <w:rFonts w:cs="B Titr" w:hint="cs"/>
                <w:b/>
                <w:bCs/>
                <w:sz w:val="20"/>
                <w:szCs w:val="20"/>
                <w:rtl/>
              </w:rPr>
              <w:t>بستنی یخی</w:t>
            </w:r>
            <w:r w:rsidRPr="00564770">
              <w:rPr>
                <w:rFonts w:cs="B Titr" w:hint="cs"/>
                <w:sz w:val="20"/>
                <w:szCs w:val="20"/>
                <w:rtl/>
              </w:rPr>
              <w:t xml:space="preserve"> ) ، دل ، قلوه ،جگر ، سوسیس ، کالباس و نوشابه ها مخصوصا کولا (سیاه) جدا پرهیز کنید .</w:t>
            </w:r>
          </w:p>
          <w:p w:rsidR="00F27D0A" w:rsidRPr="00564770" w:rsidRDefault="00F27D0A" w:rsidP="00F27D0A">
            <w:pPr>
              <w:spacing w:after="200" w:line="276" w:lineRule="auto"/>
              <w:ind w:left="101" w:right="176"/>
              <w:jc w:val="both"/>
              <w:rPr>
                <w:rFonts w:cs="B Titr"/>
                <w:sz w:val="20"/>
                <w:szCs w:val="20"/>
              </w:rPr>
            </w:pPr>
            <w:r w:rsidRPr="00564770">
              <w:rPr>
                <w:rFonts w:cs="B Titr" w:hint="cs"/>
                <w:b/>
                <w:bCs/>
                <w:sz w:val="20"/>
                <w:szCs w:val="20"/>
                <w:rtl/>
              </w:rPr>
              <w:t>از مصرف آب خورش ها ، آب گوشت ها ، آب غذا ها و آب کمپوت ها خودداری کنید</w:t>
            </w:r>
            <w:r w:rsidRPr="00564770">
              <w:rPr>
                <w:rFonts w:cs="B Titr" w:hint="cs"/>
                <w:sz w:val="20"/>
                <w:szCs w:val="20"/>
                <w:rtl/>
              </w:rPr>
              <w:t xml:space="preserve"> . </w:t>
            </w:r>
          </w:p>
          <w:p w:rsidR="00F27D0A" w:rsidRDefault="00F27D0A" w:rsidP="00F27D0A">
            <w:pPr>
              <w:spacing w:after="200" w:line="276" w:lineRule="auto"/>
              <w:ind w:left="101" w:right="176"/>
              <w:jc w:val="both"/>
              <w:rPr>
                <w:rFonts w:cs="B Titr"/>
                <w:sz w:val="20"/>
                <w:szCs w:val="20"/>
                <w:rtl/>
              </w:rPr>
            </w:pPr>
            <w:r w:rsidRPr="00564770">
              <w:rPr>
                <w:rFonts w:cs="B Titr" w:hint="cs"/>
                <w:sz w:val="20"/>
                <w:szCs w:val="20"/>
                <w:rtl/>
              </w:rPr>
              <w:t xml:space="preserve">از سرخ کردن غذا ها در روغن و مصرف غذاهای سرخ شده تا حد امکان خودداری کنید . </w:t>
            </w:r>
          </w:p>
          <w:p w:rsidR="008B0012" w:rsidRDefault="00F27D0A" w:rsidP="00F27D0A">
            <w:pPr>
              <w:spacing w:after="200" w:line="276" w:lineRule="auto"/>
              <w:ind w:left="101" w:right="176"/>
              <w:jc w:val="both"/>
              <w:rPr>
                <w:rFonts w:cs="B Titr" w:hint="cs"/>
                <w:sz w:val="20"/>
                <w:szCs w:val="20"/>
                <w:rtl/>
              </w:rPr>
            </w:pPr>
            <w:r w:rsidRPr="00F27D0A">
              <w:rPr>
                <w:rFonts w:cs="B Titr"/>
                <w:noProof/>
                <w:sz w:val="20"/>
                <w:szCs w:val="20"/>
                <w:rtl/>
              </w:rPr>
              <w:drawing>
                <wp:inline distT="0" distB="0" distL="0" distR="0">
                  <wp:extent cx="2412365" cy="1052623"/>
                  <wp:effectExtent l="0" t="0" r="6985" b="0"/>
                  <wp:docPr id="6" name="Picture 6" descr="C:\Users\a\Desktop\پمفلت\New folder (2)\download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esktop\پمفلت\New folder (2)\download (7).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9119" cy="1068661"/>
                          </a:xfrm>
                          <a:prstGeom prst="rect">
                            <a:avLst/>
                          </a:prstGeom>
                          <a:noFill/>
                          <a:ln>
                            <a:noFill/>
                          </a:ln>
                        </pic:spPr>
                      </pic:pic>
                    </a:graphicData>
                  </a:graphic>
                </wp:inline>
              </w:drawing>
            </w:r>
          </w:p>
          <w:p w:rsidR="00F27D0A" w:rsidRPr="00F27D0A" w:rsidRDefault="00F27D0A" w:rsidP="00F27D0A">
            <w:pPr>
              <w:spacing w:after="200" w:line="276" w:lineRule="auto"/>
              <w:ind w:left="101" w:right="176"/>
              <w:jc w:val="both"/>
              <w:rPr>
                <w:rFonts w:cs="B Titr"/>
                <w:sz w:val="20"/>
                <w:szCs w:val="20"/>
              </w:rPr>
            </w:pPr>
            <w:r w:rsidRPr="00D11A72">
              <w:rPr>
                <w:rFonts w:cs="B Titr" w:hint="cs"/>
                <w:b/>
                <w:bCs/>
                <w:color w:val="FF0000"/>
                <w:rtl/>
              </w:rPr>
              <w:lastRenderedPageBreak/>
              <w:t>پتاسیم رژیم غذایی</w:t>
            </w:r>
          </w:p>
          <w:p w:rsidR="00F27D0A" w:rsidRPr="00D11A72" w:rsidRDefault="00F27D0A" w:rsidP="00F27D0A">
            <w:pPr>
              <w:spacing w:after="200" w:line="276" w:lineRule="auto"/>
              <w:ind w:right="176"/>
              <w:jc w:val="both"/>
              <w:rPr>
                <w:rFonts w:cs="B Titr"/>
                <w:sz w:val="20"/>
                <w:szCs w:val="20"/>
              </w:rPr>
            </w:pPr>
            <w:r w:rsidRPr="00D11A72">
              <w:rPr>
                <w:rFonts w:cs="B Titr" w:hint="cs"/>
                <w:sz w:val="20"/>
                <w:szCs w:val="20"/>
                <w:rtl/>
              </w:rPr>
              <w:t xml:space="preserve">در بیماران همودیالیز باید سطح پتاسیم سرم خون دقیقا کنترل گردد. مواد غذایی که در گروه میوه ها ، سبزی ها ، لبنیات و گوشت ها قرار دارند غنی از پتاسیم می باشند </w:t>
            </w:r>
          </w:p>
          <w:p w:rsidR="00F27D0A" w:rsidRPr="00D11A72" w:rsidRDefault="00F27D0A" w:rsidP="00F27D0A">
            <w:pPr>
              <w:spacing w:after="200" w:line="276" w:lineRule="auto"/>
              <w:ind w:right="176"/>
              <w:jc w:val="both"/>
              <w:rPr>
                <w:rFonts w:cs="B Titr"/>
                <w:sz w:val="20"/>
                <w:szCs w:val="20"/>
              </w:rPr>
            </w:pPr>
            <w:r w:rsidRPr="00D11A72">
              <w:rPr>
                <w:rFonts w:cs="B Titr" w:hint="cs"/>
                <w:sz w:val="20"/>
                <w:szCs w:val="20"/>
                <w:rtl/>
              </w:rPr>
              <w:t>سبوس و جوانه غلات غنی از پتاسیم هستند .</w:t>
            </w:r>
          </w:p>
          <w:p w:rsidR="00F27D0A" w:rsidRPr="00D11A72" w:rsidRDefault="00F27D0A" w:rsidP="00F27D0A">
            <w:pPr>
              <w:spacing w:after="200" w:line="276" w:lineRule="auto"/>
              <w:ind w:right="176"/>
              <w:jc w:val="both"/>
              <w:rPr>
                <w:rFonts w:cs="B Titr"/>
                <w:sz w:val="20"/>
                <w:szCs w:val="20"/>
              </w:rPr>
            </w:pPr>
            <w:r w:rsidRPr="00D11A72">
              <w:rPr>
                <w:rFonts w:cs="B Titr" w:hint="cs"/>
                <w:sz w:val="20"/>
                <w:szCs w:val="20"/>
                <w:rtl/>
              </w:rPr>
              <w:t>میوه هایی که به صورت کمپوت هستند در صورتی که آب آن ها مصرف نگردد پتاسیم کمتری دارند .</w:t>
            </w:r>
          </w:p>
          <w:p w:rsidR="00F27D0A" w:rsidRPr="00D11A72" w:rsidRDefault="00F27D0A" w:rsidP="00F27D0A">
            <w:pPr>
              <w:spacing w:after="200" w:line="276" w:lineRule="auto"/>
              <w:ind w:right="176"/>
              <w:jc w:val="both"/>
              <w:rPr>
                <w:rFonts w:cs="B Titr"/>
                <w:sz w:val="20"/>
                <w:szCs w:val="20"/>
              </w:rPr>
            </w:pPr>
            <w:r w:rsidRPr="00D11A72">
              <w:rPr>
                <w:rFonts w:cs="B Titr" w:hint="cs"/>
                <w:sz w:val="20"/>
                <w:szCs w:val="20"/>
                <w:rtl/>
              </w:rPr>
              <w:t>میوه های و سبزی های پر پتاسیم را بشناسید و از مصرف آن ها حتی الامکان پرهیز کنید .</w:t>
            </w:r>
          </w:p>
          <w:p w:rsidR="00F27D0A" w:rsidRPr="00D11A72" w:rsidRDefault="00F27D0A" w:rsidP="00F27D0A">
            <w:pPr>
              <w:spacing w:after="200" w:line="276" w:lineRule="auto"/>
              <w:ind w:right="176"/>
              <w:jc w:val="both"/>
              <w:rPr>
                <w:rFonts w:cs="B Titr"/>
                <w:sz w:val="20"/>
                <w:szCs w:val="20"/>
              </w:rPr>
            </w:pPr>
            <w:r w:rsidRPr="00D11A72">
              <w:rPr>
                <w:rFonts w:cs="B Titr" w:hint="cs"/>
                <w:b/>
                <w:bCs/>
                <w:i/>
                <w:iCs/>
                <w:sz w:val="20"/>
                <w:szCs w:val="20"/>
                <w:rtl/>
              </w:rPr>
              <w:t>میوه های پر پتاسیم</w:t>
            </w:r>
            <w:r w:rsidRPr="00D11A72">
              <w:rPr>
                <w:rFonts w:cs="B Titr" w:hint="cs"/>
                <w:sz w:val="20"/>
                <w:szCs w:val="20"/>
                <w:rtl/>
              </w:rPr>
              <w:t xml:space="preserve">: آلوبخارا ، انجیرخشک ، زرد آلو و برگه آن ، شلیل ، طالبی ، گرمک ، خربزه ، کیوی ، گلابی ، موز  و ازگیل </w:t>
            </w:r>
          </w:p>
          <w:p w:rsidR="00F27D0A" w:rsidRPr="00D11A72" w:rsidRDefault="00F27D0A" w:rsidP="00F27D0A">
            <w:pPr>
              <w:spacing w:after="200" w:line="276" w:lineRule="auto"/>
              <w:ind w:right="176"/>
              <w:jc w:val="both"/>
              <w:rPr>
                <w:rFonts w:cs="B Titr"/>
                <w:sz w:val="20"/>
                <w:szCs w:val="20"/>
              </w:rPr>
            </w:pPr>
            <w:r w:rsidRPr="00D11A72">
              <w:rPr>
                <w:rFonts w:cs="B Titr" w:hint="cs"/>
                <w:b/>
                <w:bCs/>
                <w:i/>
                <w:iCs/>
                <w:sz w:val="20"/>
                <w:szCs w:val="20"/>
                <w:rtl/>
              </w:rPr>
              <w:t>سبزیجات پر پتاسیم</w:t>
            </w:r>
            <w:r w:rsidRPr="00D11A72">
              <w:rPr>
                <w:rFonts w:cs="B Titr" w:hint="cs"/>
                <w:sz w:val="20"/>
                <w:szCs w:val="20"/>
                <w:rtl/>
              </w:rPr>
              <w:t xml:space="preserve"> : سیب زمینی ، اسفناج ، چغندر ، کرفس ، قارچ ، بامیه ، گوجه فرنگی ،سبزی ، کدو حلوایی ،فلفل ، کلسیم بروکسل </w:t>
            </w:r>
          </w:p>
          <w:p w:rsidR="00F27D0A" w:rsidRPr="00D11A72" w:rsidRDefault="00F27D0A" w:rsidP="00F27D0A">
            <w:pPr>
              <w:spacing w:after="200" w:line="276" w:lineRule="auto"/>
              <w:ind w:right="176"/>
              <w:jc w:val="both"/>
              <w:rPr>
                <w:rFonts w:cs="B Titr"/>
                <w:b/>
                <w:bCs/>
                <w:sz w:val="20"/>
                <w:szCs w:val="20"/>
              </w:rPr>
            </w:pPr>
            <w:r w:rsidRPr="00D11A72">
              <w:rPr>
                <w:rFonts w:cs="B Titr" w:hint="cs"/>
                <w:sz w:val="20"/>
                <w:szCs w:val="20"/>
                <w:rtl/>
              </w:rPr>
              <w:t xml:space="preserve">از گروه سبزیها آنهایی که </w:t>
            </w:r>
            <w:r w:rsidRPr="00D11A72">
              <w:rPr>
                <w:rFonts w:cs="B Titr" w:hint="cs"/>
                <w:b/>
                <w:bCs/>
                <w:sz w:val="20"/>
                <w:szCs w:val="20"/>
                <w:u w:val="single"/>
                <w:rtl/>
              </w:rPr>
              <w:t>کم پتاسیم</w:t>
            </w:r>
            <w:r w:rsidRPr="00D11A72">
              <w:rPr>
                <w:rFonts w:cs="B Titr" w:hint="cs"/>
                <w:sz w:val="20"/>
                <w:szCs w:val="20"/>
                <w:rtl/>
              </w:rPr>
              <w:t xml:space="preserve"> هستند عبارتند از </w:t>
            </w:r>
            <w:r w:rsidRPr="00D11A72">
              <w:rPr>
                <w:rFonts w:cs="B Titr" w:hint="cs"/>
                <w:b/>
                <w:bCs/>
                <w:sz w:val="20"/>
                <w:szCs w:val="20"/>
                <w:rtl/>
              </w:rPr>
              <w:t xml:space="preserve">خیار پوست کنده ، فلفل سبز ، کاهو ، کلم چینی خام ، کلم خام ، لوبیا سبز و شاهی </w:t>
            </w:r>
          </w:p>
          <w:p w:rsidR="008B0012" w:rsidRPr="00D11A72" w:rsidRDefault="008B0012" w:rsidP="008B0012">
            <w:pPr>
              <w:rPr>
                <w:rFonts w:cs="B Titr"/>
                <w:color w:val="FF0000"/>
              </w:rPr>
            </w:pPr>
            <w:r w:rsidRPr="00D11A72">
              <w:rPr>
                <w:rFonts w:cs="B Titr" w:hint="cs"/>
                <w:b/>
                <w:bCs/>
                <w:color w:val="FF0000"/>
                <w:rtl/>
              </w:rPr>
              <w:lastRenderedPageBreak/>
              <w:t>فسفر رژیم غذایی</w:t>
            </w:r>
          </w:p>
          <w:p w:rsidR="008B0012" w:rsidRPr="00D11A72" w:rsidRDefault="008B0012" w:rsidP="008B0012">
            <w:pPr>
              <w:spacing w:after="200" w:line="276" w:lineRule="auto"/>
              <w:ind w:left="101" w:right="34"/>
              <w:jc w:val="both"/>
              <w:rPr>
                <w:rFonts w:cs="B Titr"/>
                <w:sz w:val="20"/>
                <w:szCs w:val="20"/>
              </w:rPr>
            </w:pPr>
            <w:r w:rsidRPr="00D11A72">
              <w:rPr>
                <w:rFonts w:cs="B Titr" w:hint="cs"/>
                <w:sz w:val="20"/>
                <w:szCs w:val="20"/>
                <w:rtl/>
              </w:rPr>
              <w:t>جهت تنظیم سطح فسفر سرم در بیماران همدیالیز علاوه بر رعایت رژیم غذایی این بیماران از داروهایی به نام متصل کننده های فسفر که توسط پزشک تجویز می شود نیز استفاده کنند . بیماران همودیالیز باید توجه کنند که باید این داروها را دقیقا قبل از غذا یا در حین غذا خوردن و یا حداکثر بلافاصله بعد از غذا خوردن مصرف نمایند .</w:t>
            </w:r>
          </w:p>
          <w:p w:rsidR="008B0012" w:rsidRPr="00D11A72" w:rsidRDefault="008B0012" w:rsidP="008B0012">
            <w:pPr>
              <w:spacing w:after="200" w:line="276" w:lineRule="auto"/>
              <w:ind w:left="101" w:right="34"/>
              <w:jc w:val="both"/>
              <w:rPr>
                <w:rFonts w:cs="B Titr"/>
                <w:sz w:val="20"/>
                <w:szCs w:val="20"/>
                <w:rtl/>
              </w:rPr>
            </w:pPr>
            <w:r w:rsidRPr="00D11A72">
              <w:rPr>
                <w:rFonts w:cs="B Titr" w:hint="cs"/>
                <w:sz w:val="20"/>
                <w:szCs w:val="20"/>
                <w:rtl/>
              </w:rPr>
              <w:t xml:space="preserve">برای </w:t>
            </w:r>
            <w:r w:rsidRPr="00D11A72">
              <w:rPr>
                <w:rFonts w:cs="B Titr" w:hint="cs"/>
                <w:b/>
                <w:bCs/>
                <w:sz w:val="20"/>
                <w:szCs w:val="20"/>
                <w:u w:val="single"/>
                <w:rtl/>
              </w:rPr>
              <w:t>محدود کردن فسفر</w:t>
            </w:r>
            <w:r w:rsidRPr="00D11A72">
              <w:rPr>
                <w:rFonts w:cs="B Titr" w:hint="cs"/>
                <w:sz w:val="20"/>
                <w:szCs w:val="20"/>
                <w:rtl/>
              </w:rPr>
              <w:t xml:space="preserve"> رژیم غذایی بیماران نکات زیر را رعایت کنید : </w:t>
            </w:r>
          </w:p>
          <w:p w:rsidR="008B0012" w:rsidRPr="00D11A72" w:rsidRDefault="008B0012" w:rsidP="008B0012">
            <w:pPr>
              <w:spacing w:after="200" w:line="276" w:lineRule="auto"/>
              <w:ind w:left="101" w:right="34"/>
              <w:jc w:val="both"/>
              <w:rPr>
                <w:rFonts w:cs="B Titr"/>
                <w:sz w:val="20"/>
                <w:szCs w:val="20"/>
              </w:rPr>
            </w:pPr>
            <w:r w:rsidRPr="00D11A72">
              <w:rPr>
                <w:rFonts w:cs="B Titr" w:hint="cs"/>
                <w:sz w:val="20"/>
                <w:szCs w:val="20"/>
                <w:rtl/>
              </w:rPr>
              <w:t>حذف یا محدود کردن شیر ، ماست ، بستنی ، پنیر ، دوغ ، کشک ، خامه و ترکیبات شیر مثل شیر کاکائو حذف غلات کامل و نان های تهیه شده از غلات کامل و فراورده های غذایی حاوی سبوس حذف حبوبات از قبیل نخود ، لوبیا ، عدس ، لپه ، باقلا ، ماش و سویا حذف نوشابه های کولا (سیاه)</w:t>
            </w:r>
          </w:p>
          <w:p w:rsidR="008B0012" w:rsidRPr="00D11A72" w:rsidRDefault="008B0012" w:rsidP="008B0012">
            <w:pPr>
              <w:spacing w:after="200" w:line="276" w:lineRule="auto"/>
              <w:ind w:left="101" w:right="34"/>
              <w:jc w:val="both"/>
              <w:rPr>
                <w:rFonts w:cs="B Titr"/>
                <w:sz w:val="20"/>
                <w:szCs w:val="20"/>
                <w:rtl/>
              </w:rPr>
            </w:pPr>
            <w:r w:rsidRPr="00D11A72">
              <w:rPr>
                <w:rFonts w:cs="B Titr" w:hint="cs"/>
                <w:sz w:val="20"/>
                <w:szCs w:val="20"/>
                <w:rtl/>
              </w:rPr>
              <w:t xml:space="preserve">حذف ماهی ساردین </w:t>
            </w:r>
          </w:p>
          <w:p w:rsidR="008B0012" w:rsidRPr="00D11A72" w:rsidRDefault="008B0012" w:rsidP="008B0012">
            <w:pPr>
              <w:spacing w:after="200" w:line="276" w:lineRule="auto"/>
              <w:ind w:left="101" w:right="34"/>
              <w:jc w:val="both"/>
              <w:rPr>
                <w:rFonts w:cs="B Titr"/>
                <w:sz w:val="20"/>
                <w:szCs w:val="20"/>
              </w:rPr>
            </w:pPr>
            <w:r w:rsidRPr="00D11A72">
              <w:rPr>
                <w:rFonts w:cs="B Titr" w:hint="cs"/>
                <w:sz w:val="20"/>
                <w:szCs w:val="20"/>
                <w:rtl/>
              </w:rPr>
              <w:t xml:space="preserve">حذف مغزها و دانه ها از قبیل بادام ، پسته ، فندق ، تخم آفتابگردان ، کنجد ، بادام زمینی و محصولات حاوی آن ها حذف دل ، جگر ، قلوه و مغز  ، انواع گوشت ها فقط به میزان مجاز مصرف شوند </w:t>
            </w:r>
          </w:p>
          <w:p w:rsidR="00564770" w:rsidRPr="00D11A72" w:rsidRDefault="00564770" w:rsidP="00D11A72">
            <w:pPr>
              <w:spacing w:after="200" w:line="276" w:lineRule="auto"/>
              <w:ind w:left="101" w:right="176"/>
              <w:jc w:val="both"/>
              <w:rPr>
                <w:rFonts w:cs="B Titr"/>
                <w:sz w:val="20"/>
                <w:szCs w:val="20"/>
              </w:rPr>
            </w:pPr>
          </w:p>
          <w:p w:rsidR="000B1CF8" w:rsidRPr="00D61AD1" w:rsidRDefault="000B1CF8" w:rsidP="00000530">
            <w:pPr>
              <w:ind w:left="360"/>
              <w:jc w:val="both"/>
              <w:rPr>
                <w:rFonts w:cs="B Nazanin"/>
                <w:sz w:val="20"/>
                <w:szCs w:val="20"/>
                <w:rtl/>
              </w:rPr>
            </w:pPr>
          </w:p>
        </w:tc>
      </w:tr>
      <w:bookmarkEnd w:id="0"/>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D61AD1" w:rsidRDefault="000B1CF8" w:rsidP="008B0012">
            <w:pPr>
              <w:spacing w:after="200" w:line="276" w:lineRule="auto"/>
              <w:ind w:left="101" w:right="34"/>
              <w:jc w:val="both"/>
              <w:rPr>
                <w:rFonts w:cs="B Nazanin"/>
                <w:sz w:val="20"/>
                <w:szCs w:val="20"/>
                <w:rtl/>
              </w:rPr>
            </w:pPr>
          </w:p>
        </w:tc>
      </w:tr>
      <w:tr w:rsidR="000B1CF8" w:rsidRPr="00D61AD1" w:rsidTr="00E439BC">
        <w:trPr>
          <w:trHeight w:val="8935"/>
        </w:trPr>
        <w:tc>
          <w:tcPr>
            <w:tcW w:w="4462" w:type="dxa"/>
            <w:tcBorders>
              <w:top w:val="double" w:sz="4" w:space="0" w:color="4472C4" w:themeColor="accent5"/>
              <w:left w:val="double" w:sz="4" w:space="0" w:color="4472C4" w:themeColor="accent5"/>
              <w:right w:val="double" w:sz="4" w:space="0" w:color="4472C4" w:themeColor="accent5"/>
            </w:tcBorders>
          </w:tcPr>
          <w:p w:rsidR="000B1CF8" w:rsidRPr="00D61AD1" w:rsidRDefault="000B1CF8" w:rsidP="00F27D0A">
            <w:pPr>
              <w:spacing w:after="200" w:line="276" w:lineRule="auto"/>
              <w:ind w:right="176"/>
              <w:jc w:val="both"/>
              <w:rPr>
                <w:rFonts w:cs="B Nazanin"/>
                <w:sz w:val="20"/>
                <w:szCs w:val="20"/>
                <w:rtl/>
              </w:rPr>
            </w:pPr>
          </w:p>
        </w:tc>
      </w:tr>
    </w:tbl>
    <w:p w:rsidR="003656DB" w:rsidRPr="00D61AD1" w:rsidRDefault="003656DB" w:rsidP="005D2C82">
      <w:pPr>
        <w:jc w:val="both"/>
        <w:rPr>
          <w:rFonts w:cs="B Nazanin"/>
          <w:sz w:val="20"/>
          <w:szCs w:val="20"/>
        </w:rPr>
      </w:pPr>
    </w:p>
    <w:sectPr w:rsidR="003656DB" w:rsidRPr="00D61AD1" w:rsidSect="00EC1E07">
      <w:type w:val="continuous"/>
      <w:pgSz w:w="16838" w:h="11906" w:orient="landscape"/>
      <w:pgMar w:top="1440" w:right="1440" w:bottom="1440" w:left="1440" w:header="709" w:footer="709" w:gutter="0"/>
      <w:cols w:num="3" w:space="709"/>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3C5" w:rsidRDefault="00EE53C5" w:rsidP="00526F55">
      <w:pPr>
        <w:spacing w:after="0" w:line="240" w:lineRule="auto"/>
      </w:pPr>
      <w:r>
        <w:separator/>
      </w:r>
    </w:p>
  </w:endnote>
  <w:endnote w:type="continuationSeparator" w:id="0">
    <w:p w:rsidR="00EE53C5" w:rsidRDefault="00EE53C5" w:rsidP="00526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3C5" w:rsidRDefault="00EE53C5" w:rsidP="00526F55">
      <w:pPr>
        <w:spacing w:after="0" w:line="240" w:lineRule="auto"/>
      </w:pPr>
      <w:r>
        <w:separator/>
      </w:r>
    </w:p>
  </w:footnote>
  <w:footnote w:type="continuationSeparator" w:id="0">
    <w:p w:rsidR="00EE53C5" w:rsidRDefault="00EE53C5" w:rsidP="00526F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664C4"/>
    <w:multiLevelType w:val="hybridMultilevel"/>
    <w:tmpl w:val="C436E560"/>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2E0CE3"/>
    <w:multiLevelType w:val="hybridMultilevel"/>
    <w:tmpl w:val="576C41EE"/>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DC2742"/>
    <w:multiLevelType w:val="hybridMultilevel"/>
    <w:tmpl w:val="26B2F546"/>
    <w:lvl w:ilvl="0" w:tplc="9E1658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0451D"/>
    <w:multiLevelType w:val="hybridMultilevel"/>
    <w:tmpl w:val="4FE470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AC62A51"/>
    <w:multiLevelType w:val="hybridMultilevel"/>
    <w:tmpl w:val="DD3E492C"/>
    <w:lvl w:ilvl="0" w:tplc="536CAF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E5074BE"/>
    <w:multiLevelType w:val="hybridMultilevel"/>
    <w:tmpl w:val="FB86041C"/>
    <w:lvl w:ilvl="0" w:tplc="2E0CCF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663B81"/>
    <w:multiLevelType w:val="hybridMultilevel"/>
    <w:tmpl w:val="0E2279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F55"/>
    <w:rsid w:val="00000530"/>
    <w:rsid w:val="000B1CF8"/>
    <w:rsid w:val="00125555"/>
    <w:rsid w:val="003040BA"/>
    <w:rsid w:val="003656DB"/>
    <w:rsid w:val="00526F55"/>
    <w:rsid w:val="00537CA2"/>
    <w:rsid w:val="00564770"/>
    <w:rsid w:val="005D2C82"/>
    <w:rsid w:val="005D75C2"/>
    <w:rsid w:val="006E6773"/>
    <w:rsid w:val="006F71F4"/>
    <w:rsid w:val="007B159D"/>
    <w:rsid w:val="00813A14"/>
    <w:rsid w:val="00830FB8"/>
    <w:rsid w:val="008530DC"/>
    <w:rsid w:val="00871865"/>
    <w:rsid w:val="008B0012"/>
    <w:rsid w:val="00AA65E6"/>
    <w:rsid w:val="00C97A96"/>
    <w:rsid w:val="00D11A72"/>
    <w:rsid w:val="00D61AD1"/>
    <w:rsid w:val="00DF599A"/>
    <w:rsid w:val="00E439BC"/>
    <w:rsid w:val="00EC1E07"/>
    <w:rsid w:val="00EE53C5"/>
    <w:rsid w:val="00F27D0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D7F48E-45B8-4D23-A190-772850392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6F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6F55"/>
  </w:style>
  <w:style w:type="paragraph" w:styleId="Footer">
    <w:name w:val="footer"/>
    <w:basedOn w:val="Normal"/>
    <w:link w:val="FooterChar"/>
    <w:uiPriority w:val="99"/>
    <w:unhideWhenUsed/>
    <w:rsid w:val="00526F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6F55"/>
  </w:style>
  <w:style w:type="paragraph" w:styleId="ListParagraph">
    <w:name w:val="List Paragraph"/>
    <w:basedOn w:val="Normal"/>
    <w:uiPriority w:val="34"/>
    <w:qFormat/>
    <w:rsid w:val="00526F55"/>
    <w:pPr>
      <w:ind w:left="720"/>
      <w:contextualSpacing/>
    </w:pPr>
  </w:style>
  <w:style w:type="table" w:styleId="TableGrid">
    <w:name w:val="Table Grid"/>
    <w:basedOn w:val="TableNormal"/>
    <w:uiPriority w:val="39"/>
    <w:rsid w:val="00EC1E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9B2F7-0FAE-4CF1-BD60-A775D2207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4</Pages>
  <Words>518</Words>
  <Characters>2956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5</cp:revision>
  <dcterms:created xsi:type="dcterms:W3CDTF">2022-11-23T10:41:00Z</dcterms:created>
  <dcterms:modified xsi:type="dcterms:W3CDTF">2023-02-21T06:47:00Z</dcterms:modified>
</cp:coreProperties>
</file>